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68E" w:rsidRDefault="0068368E" w:rsidP="0068368E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OBJAŚNIENIA  PRZYJĘTYCH  WARTOŚCI</w:t>
      </w:r>
    </w:p>
    <w:p w:rsidR="0068368E" w:rsidRDefault="0068368E" w:rsidP="0068368E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WIELOLETNIEJ PROGNOZIE FINANSOWEJ</w:t>
      </w:r>
    </w:p>
    <w:p w:rsidR="0068368E" w:rsidRDefault="006E6B21" w:rsidP="0068368E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GMINY JARCZÓW NA LATA 2023</w:t>
      </w:r>
      <w:r w:rsidR="0068368E">
        <w:rPr>
          <w:rFonts w:ascii="Times New Roman" w:hAnsi="Times New Roman" w:cs="Times New Roman"/>
          <w:b/>
          <w:bCs/>
          <w:sz w:val="24"/>
          <w:szCs w:val="24"/>
        </w:rPr>
        <w:t>-2029</w:t>
      </w:r>
    </w:p>
    <w:p w:rsidR="0068368E" w:rsidRDefault="0068368E" w:rsidP="0068368E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368E" w:rsidRDefault="0068368E" w:rsidP="0068368E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Wieloletnią prognozę finansową obejmująca prognozę kwoty długu (dalej WPF) sporządzono na lata 202</w:t>
      </w:r>
      <w:r w:rsidR="006E6B2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-2029, tj. na okres na który zaciągnięto zobowiązania. </w:t>
      </w:r>
    </w:p>
    <w:p w:rsidR="0068368E" w:rsidRDefault="0068368E" w:rsidP="0068368E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Przy opracowaniu WPF i prognozy kwoty długu kierowano się wskaźnikami przedstawionymi w Wytycznych dotyczących założeń makroekonomicznych na potrzeby wieloletnich prognoz finansowych jednostek samorządu terytorialnego zaktualizowanych w październiku 202</w:t>
      </w:r>
      <w:r w:rsidR="006E6B2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r. dostępnych na stronie internetowej MF.</w:t>
      </w:r>
    </w:p>
    <w:p w:rsidR="0068368E" w:rsidRDefault="0068368E" w:rsidP="006836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 WPF-</w:t>
      </w:r>
      <w:proofErr w:type="spellStart"/>
      <w:r>
        <w:rPr>
          <w:rFonts w:ascii="Times New Roman" w:hAnsi="Times New Roman" w:cs="Times New Roman"/>
          <w:sz w:val="24"/>
          <w:szCs w:val="24"/>
        </w:rPr>
        <w:t>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pokazano również dane historyczne niezbędne do wyliczenia relacji z art. 243 ustawy o finansach </w:t>
      </w:r>
      <w:r w:rsidR="006E6B21">
        <w:rPr>
          <w:rFonts w:ascii="Times New Roman" w:hAnsi="Times New Roman" w:cs="Times New Roman"/>
          <w:sz w:val="24"/>
          <w:szCs w:val="24"/>
        </w:rPr>
        <w:t>publicznych, wykonanie roku 2020 i 2021, plan III kwartałów roku 2022 i przewidywane wykonanie 2022</w:t>
      </w:r>
      <w:r>
        <w:rPr>
          <w:rFonts w:ascii="Times New Roman" w:hAnsi="Times New Roman" w:cs="Times New Roman"/>
          <w:sz w:val="24"/>
          <w:szCs w:val="24"/>
        </w:rPr>
        <w:t xml:space="preserve"> r. W przewidywanym wykonaniu podano dane najbardziej realne do </w:t>
      </w:r>
      <w:r w:rsidR="006E6B21">
        <w:rPr>
          <w:rFonts w:ascii="Times New Roman" w:hAnsi="Times New Roman" w:cs="Times New Roman"/>
          <w:sz w:val="24"/>
          <w:szCs w:val="24"/>
        </w:rPr>
        <w:t>osiągnięcia. Wykonanie roku 2022</w:t>
      </w:r>
      <w:r>
        <w:rPr>
          <w:rFonts w:ascii="Times New Roman" w:hAnsi="Times New Roman" w:cs="Times New Roman"/>
          <w:sz w:val="24"/>
          <w:szCs w:val="24"/>
        </w:rPr>
        <w:t xml:space="preserve"> stanowi bazę wyjściową do planowania dochodów i wydatków bieżących na lata objęte prognozą.</w:t>
      </w:r>
    </w:p>
    <w:p w:rsidR="0068368E" w:rsidRDefault="0068368E" w:rsidP="0068368E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Planując dochody majątkowe z tytułu dotacji oraz środków przeznaczonych na inwestycje w latach objętych wieloletnią prognozą finansową uwzględniono dochody z dotacji z tytułu realizacji przedsięwzięć.</w:t>
      </w:r>
    </w:p>
    <w:p w:rsidR="0068368E" w:rsidRDefault="0068368E" w:rsidP="0068368E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Dochody ze sprzedaży majątku zaplanowano w roku 2022, uwzględniając istniejący zasób majątku Gminy, aktualne ceny sprzedaży gruntów i zainteresowanie potencjalnych nabywców. Według posiada</w:t>
      </w:r>
      <w:r w:rsidR="00AC13F7">
        <w:rPr>
          <w:rFonts w:ascii="Times New Roman" w:hAnsi="Times New Roman" w:cs="Times New Roman"/>
          <w:sz w:val="24"/>
          <w:szCs w:val="24"/>
        </w:rPr>
        <w:t>nego planu sprzedaży na rok 2023</w:t>
      </w:r>
      <w:r>
        <w:rPr>
          <w:rFonts w:ascii="Times New Roman" w:hAnsi="Times New Roman" w:cs="Times New Roman"/>
          <w:sz w:val="24"/>
          <w:szCs w:val="24"/>
        </w:rPr>
        <w:t xml:space="preserve"> zaplanowano do sprzedaży  3 działki rolne o powierzchni 1,56 ha.</w:t>
      </w:r>
    </w:p>
    <w:p w:rsidR="0068368E" w:rsidRDefault="0068368E" w:rsidP="0068368E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C13F7">
        <w:rPr>
          <w:rFonts w:ascii="Times New Roman" w:hAnsi="Times New Roman" w:cs="Times New Roman"/>
          <w:color w:val="000000"/>
          <w:sz w:val="24"/>
          <w:szCs w:val="24"/>
        </w:rPr>
        <w:t>Wydatki bieżące w latach 2023</w:t>
      </w:r>
      <w:r>
        <w:rPr>
          <w:rFonts w:ascii="Times New Roman" w:hAnsi="Times New Roman" w:cs="Times New Roman"/>
          <w:color w:val="000000"/>
          <w:sz w:val="24"/>
          <w:szCs w:val="24"/>
        </w:rPr>
        <w:t>-2029 zaplanowano uwzględniając średnioroczną dynamikę wzrostu cen towarów i us</w:t>
      </w:r>
      <w:r w:rsidR="00AC13F7">
        <w:rPr>
          <w:rFonts w:ascii="Times New Roman" w:hAnsi="Times New Roman" w:cs="Times New Roman"/>
          <w:color w:val="000000"/>
          <w:sz w:val="24"/>
          <w:szCs w:val="24"/>
        </w:rPr>
        <w:t>ług konsumpcyjnych w latach 2023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- 2029. Na wymienionym poziomie przyjęto  również wzrost wydatków na wynagrodzenia i składki od nich naliczane, a także wzrost wydatków</w:t>
      </w:r>
      <w:r>
        <w:rPr>
          <w:rFonts w:ascii="Times New Roman" w:hAnsi="Times New Roman" w:cs="Times New Roman"/>
          <w:sz w:val="24"/>
          <w:szCs w:val="24"/>
        </w:rPr>
        <w:t xml:space="preserve"> związanych z funkcjonowaniem organów w wymienionych latach. W wydatkach związanych z funkcjonowaniem organów uwzględniono wydatki bieżące sklasyfikowane w rozdziałach 75022 – Rady Gmin i 75023 – Urzędy Gmin. </w:t>
      </w:r>
    </w:p>
    <w:p w:rsidR="0068368E" w:rsidRDefault="0068368E" w:rsidP="0068368E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Przy planowa</w:t>
      </w:r>
      <w:r w:rsidR="00AC13F7">
        <w:rPr>
          <w:rFonts w:ascii="Times New Roman" w:hAnsi="Times New Roman" w:cs="Times New Roman"/>
          <w:b/>
          <w:bCs/>
          <w:sz w:val="24"/>
          <w:szCs w:val="24"/>
        </w:rPr>
        <w:t>niu projektu budżetu na rok 2023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zmiana ustawy o finansach publicznych nakłada na  gminy  obwarowania dotyczące wydatków bieżących, które i my  musimy zastosować. Gmina zostaje zobligowana do stosowania i podjęcia działań oszczędnościowych, ze względu na możliwość obsługi długu publicznego już zaciągniętego.</w:t>
      </w:r>
    </w:p>
    <w:p w:rsidR="0068368E" w:rsidRDefault="0068368E" w:rsidP="0068368E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Przyjęty horyzont WPF pozwala na prognozę sytuacji budżetu Gminy do momentu spłaty wszystkich istniejących oraz przyszłych zobowiązań dłużnych. </w:t>
      </w:r>
      <w:r>
        <w:rPr>
          <w:rFonts w:ascii="Times New Roman" w:hAnsi="Times New Roman" w:cs="Times New Roman"/>
          <w:color w:val="000000"/>
          <w:sz w:val="24"/>
          <w:szCs w:val="24"/>
        </w:rPr>
        <w:t>Zało</w:t>
      </w:r>
      <w:r w:rsidR="00AC13F7">
        <w:rPr>
          <w:rFonts w:ascii="Times New Roman" w:hAnsi="Times New Roman" w:cs="Times New Roman"/>
          <w:color w:val="000000"/>
          <w:sz w:val="24"/>
          <w:szCs w:val="24"/>
        </w:rPr>
        <w:t>żono, iż w roku 2023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nastąpi  spłata kredytów w wysokości </w:t>
      </w:r>
      <w:r w:rsidR="00AC13F7">
        <w:rPr>
          <w:rFonts w:ascii="Times New Roman" w:hAnsi="Times New Roman" w:cs="Times New Roman"/>
          <w:color w:val="000000"/>
          <w:sz w:val="24"/>
          <w:szCs w:val="24"/>
        </w:rPr>
        <w:t>281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000,00 zł.</w:t>
      </w:r>
    </w:p>
    <w:p w:rsidR="0068368E" w:rsidRDefault="0068368E" w:rsidP="0068368E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Ustalając kwotę dłu</w:t>
      </w:r>
      <w:r w:rsidR="00AC13F7">
        <w:rPr>
          <w:rFonts w:ascii="Times New Roman" w:hAnsi="Times New Roman" w:cs="Times New Roman"/>
          <w:color w:val="000000"/>
          <w:sz w:val="24"/>
          <w:szCs w:val="24"/>
        </w:rPr>
        <w:t>gu jaka występuje na koniec 2022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roku i dalsze lata objęte prognozą kwoty długu wzięto pod uwagę przede wszystkim dług już zaciągnięty oraz harmonogram jego spłaty.</w:t>
      </w:r>
      <w:r w:rsidR="00AC13F7">
        <w:rPr>
          <w:rFonts w:ascii="Times New Roman" w:hAnsi="Times New Roman" w:cs="Times New Roman"/>
          <w:color w:val="000000"/>
          <w:sz w:val="24"/>
          <w:szCs w:val="24"/>
        </w:rPr>
        <w:t xml:space="preserve"> Na rok 2023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nie planuje się zaciągania nowych kredytów co ma odzwierciedlenie w projekcie budżetu i WPF na ten rok.</w:t>
      </w:r>
    </w:p>
    <w:p w:rsidR="0068368E" w:rsidRDefault="0068368E" w:rsidP="0068368E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Relacje o których mowa w art. 242-244 zostały zachowane we wszystkich latach objętych prognozą.</w:t>
      </w:r>
    </w:p>
    <w:p w:rsidR="0068368E" w:rsidRDefault="0068368E" w:rsidP="0068368E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68368E" w:rsidRDefault="0068368E" w:rsidP="0068368E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Zaplanowano kontynuację przedsięwzięcia </w:t>
      </w:r>
      <w:r w:rsidR="00AC13F7">
        <w:rPr>
          <w:rFonts w:ascii="Times New Roman" w:hAnsi="Times New Roman" w:cs="Times New Roman"/>
          <w:color w:val="000000"/>
          <w:sz w:val="24"/>
          <w:szCs w:val="24"/>
        </w:rPr>
        <w:t>majątkowego na rok 2023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: </w:t>
      </w:r>
    </w:p>
    <w:p w:rsidR="0068368E" w:rsidRDefault="0068368E" w:rsidP="0068368E">
      <w:pPr>
        <w:widowControl w:val="0"/>
        <w:numPr>
          <w:ilvl w:val="0"/>
          <w:numId w:val="1"/>
        </w:numPr>
        <w:tabs>
          <w:tab w:val="left" w:pos="665"/>
          <w:tab w:val="left" w:pos="720"/>
          <w:tab w:val="left" w:pos="1374"/>
          <w:tab w:val="left" w:pos="2083"/>
          <w:tab w:val="left" w:pos="2792"/>
          <w:tab w:val="left" w:pos="3501"/>
          <w:tab w:val="left" w:pos="4210"/>
          <w:tab w:val="left" w:pos="4919"/>
          <w:tab w:val="left" w:pos="5628"/>
          <w:tab w:val="left" w:pos="6337"/>
          <w:tab w:val="left" w:pos="7046"/>
          <w:tab w:val="left" w:pos="7776"/>
          <w:tab w:val="left" w:pos="8484"/>
          <w:tab w:val="left" w:pos="9204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"Odnawialne źródła energii w </w:t>
      </w:r>
      <w:r w:rsidR="00AC13F7">
        <w:rPr>
          <w:rFonts w:ascii="Times New Roman" w:hAnsi="Times New Roman" w:cs="Times New Roman"/>
          <w:color w:val="000000"/>
          <w:sz w:val="24"/>
          <w:szCs w:val="24"/>
        </w:rPr>
        <w:t>Gminie Jarczów ” limit roku 2023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   </w:t>
      </w:r>
      <w:r w:rsidR="00AC13F7">
        <w:rPr>
          <w:rFonts w:ascii="Times New Roman" w:hAnsi="Times New Roman" w:cs="Times New Roman"/>
          <w:color w:val="000000"/>
          <w:sz w:val="24"/>
          <w:szCs w:val="24"/>
        </w:rPr>
        <w:t>1 298 516,00 zł.</w:t>
      </w:r>
    </w:p>
    <w:p w:rsidR="0068368E" w:rsidRPr="00AC13F7" w:rsidRDefault="0068368E" w:rsidP="00AC13F7">
      <w:pPr>
        <w:pStyle w:val="Akapitzlist"/>
        <w:widowControl w:val="0"/>
        <w:numPr>
          <w:ilvl w:val="0"/>
          <w:numId w:val="1"/>
        </w:numPr>
        <w:tabs>
          <w:tab w:val="left" w:pos="665"/>
          <w:tab w:val="left" w:pos="720"/>
          <w:tab w:val="left" w:pos="1374"/>
          <w:tab w:val="left" w:pos="2083"/>
          <w:tab w:val="left" w:pos="2792"/>
          <w:tab w:val="left" w:pos="3501"/>
          <w:tab w:val="left" w:pos="4210"/>
          <w:tab w:val="left" w:pos="4919"/>
          <w:tab w:val="left" w:pos="5628"/>
          <w:tab w:val="left" w:pos="6337"/>
          <w:tab w:val="left" w:pos="7046"/>
          <w:tab w:val="left" w:pos="7776"/>
          <w:tab w:val="left" w:pos="8484"/>
          <w:tab w:val="left" w:pos="9204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13F7">
        <w:rPr>
          <w:rFonts w:ascii="Times New Roman" w:hAnsi="Times New Roman" w:cs="Times New Roman"/>
          <w:color w:val="000000"/>
          <w:sz w:val="24"/>
          <w:szCs w:val="24"/>
        </w:rPr>
        <w:t xml:space="preserve"> "Rozbudowa i przebudowa budynku z przeznaczeniem na gminne przedszkole w Jarczowie". Planowany całkowity koszt inwestycji to 4 850 000,00 zł. Procentowy udział własny Gminy w realizacji tej inwestycji to 25%.</w:t>
      </w:r>
    </w:p>
    <w:p w:rsidR="0068368E" w:rsidRDefault="0068368E" w:rsidP="0068368E">
      <w:pPr>
        <w:widowControl w:val="0"/>
        <w:tabs>
          <w:tab w:val="left" w:pos="665"/>
          <w:tab w:val="left" w:pos="720"/>
          <w:tab w:val="left" w:pos="1374"/>
          <w:tab w:val="left" w:pos="2083"/>
          <w:tab w:val="left" w:pos="2792"/>
          <w:tab w:val="left" w:pos="3501"/>
          <w:tab w:val="left" w:pos="4210"/>
          <w:tab w:val="left" w:pos="4919"/>
          <w:tab w:val="left" w:pos="5628"/>
          <w:tab w:val="left" w:pos="6337"/>
          <w:tab w:val="left" w:pos="7046"/>
          <w:tab w:val="left" w:pos="7776"/>
          <w:tab w:val="left" w:pos="8484"/>
          <w:tab w:val="left" w:pos="9204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8368E" w:rsidRDefault="0068368E" w:rsidP="006836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W uchwale zawarto również upoważnienia dla Wójta do zaciągania zobowiązań związanych z realizacją przedsięwzięć i z tytułu umów, których realizacja w roku budżetowym i w latach następnych jest niezbędna do zapewnienia ciągłości działania jednostki i z których płatności wykraczają poza rok budżetowy.</w:t>
      </w:r>
    </w:p>
    <w:p w:rsidR="0068368E" w:rsidRDefault="0068368E" w:rsidP="006836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Ponadto upoważniono Wójta do przekazania  kierownikom jednostek organizacyjnych gminy, uprawnień do zaciągania zobowiązań z tytułu umów, których realizacja w roku budżetowym    i w latach następnych jest niezbędna do zapewnienia ciągłości działania jednostki i z których płatności wykraczają poza rok budżetowy.</w:t>
      </w:r>
    </w:p>
    <w:p w:rsidR="0068368E" w:rsidRDefault="0068368E" w:rsidP="006836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8368E" w:rsidRDefault="0068368E" w:rsidP="006836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8368E" w:rsidRDefault="0068368E" w:rsidP="006836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8368E" w:rsidRDefault="0068368E" w:rsidP="0068368E"/>
    <w:p w:rsidR="00C1099F" w:rsidRDefault="00C1099F">
      <w:bookmarkStart w:id="0" w:name="_GoBack"/>
      <w:bookmarkEnd w:id="0"/>
    </w:p>
    <w:sectPr w:rsidR="00C10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6AE"/>
    <w:rsid w:val="000C16AE"/>
    <w:rsid w:val="0068368E"/>
    <w:rsid w:val="006E6B21"/>
    <w:rsid w:val="00AC13F7"/>
    <w:rsid w:val="00C1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AB5569-A7A7-4CD7-8258-F731B7477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368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1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3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551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AgnieszkaZ</cp:lastModifiedBy>
  <cp:revision>4</cp:revision>
  <dcterms:created xsi:type="dcterms:W3CDTF">2022-12-28T19:11:00Z</dcterms:created>
  <dcterms:modified xsi:type="dcterms:W3CDTF">2022-12-28T19:15:00Z</dcterms:modified>
</cp:coreProperties>
</file>