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D1CE1">
        <w:rPr>
          <w:rFonts w:ascii="Times New Roman" w:hAnsi="Times New Roman" w:cs="Times New Roman"/>
          <w:sz w:val="28"/>
          <w:szCs w:val="28"/>
        </w:rPr>
        <w:t xml:space="preserve">Uchwała  Nr   </w:t>
      </w:r>
      <w:r w:rsidR="00361FBF">
        <w:rPr>
          <w:rFonts w:ascii="Times New Roman" w:hAnsi="Times New Roman" w:cs="Times New Roman"/>
          <w:sz w:val="28"/>
          <w:szCs w:val="28"/>
        </w:rPr>
        <w:t>XIII/89</w:t>
      </w:r>
      <w:r w:rsidRPr="009D1CE1">
        <w:rPr>
          <w:rFonts w:ascii="Times New Roman" w:hAnsi="Times New Roman" w:cs="Times New Roman"/>
          <w:sz w:val="28"/>
          <w:szCs w:val="28"/>
        </w:rPr>
        <w:t xml:space="preserve">/25                    </w:t>
      </w:r>
    </w:p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Rady  Gminy Jarczów</w:t>
      </w:r>
    </w:p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z dnia </w:t>
      </w:r>
      <w:r>
        <w:rPr>
          <w:rFonts w:ascii="Times New Roman" w:hAnsi="Times New Roman" w:cs="Times New Roman"/>
          <w:sz w:val="28"/>
          <w:szCs w:val="28"/>
        </w:rPr>
        <w:t>29 sierpnia</w:t>
      </w:r>
      <w:r w:rsidRPr="009D1CE1">
        <w:rPr>
          <w:rFonts w:ascii="Times New Roman" w:hAnsi="Times New Roman" w:cs="Times New Roman"/>
          <w:sz w:val="28"/>
          <w:szCs w:val="28"/>
        </w:rPr>
        <w:t xml:space="preserve">  2025 roku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CE1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 j. Dz. U. z 2024 r., poz. 1530 ze zm. ) Rada Gminy uchwala co następuje:</w:t>
      </w:r>
    </w:p>
    <w:p w:rsidR="00633ACD" w:rsidRPr="009D1CE1" w:rsidRDefault="00633ACD" w:rsidP="00633AC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1</w:t>
      </w:r>
    </w:p>
    <w:p w:rsidR="00633ACD" w:rsidRPr="009D1CE1" w:rsidRDefault="00633ACD" w:rsidP="00633ACD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W uchwale Nr VIII/51/24  Rady Gminy Jarczów z dnia 30 grudnia 2024 r. w sprawie wieloletniej prognozy finansowej, wprowadza się następujące zmiany:</w:t>
      </w:r>
    </w:p>
    <w:p w:rsidR="00633ACD" w:rsidRPr="009D1CE1" w:rsidRDefault="00633ACD" w:rsidP="00633ACD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Wieloletnia prognoza finansowa na lata 2025-2029 obejmująca prognozę kwoty długu, otrzymuje brzmienie </w:t>
      </w:r>
      <w:r w:rsidRPr="009D1CE1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633ACD" w:rsidRPr="009D1CE1" w:rsidRDefault="00633ACD" w:rsidP="00633ACD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9D1CE1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633ACD" w:rsidRPr="009D1CE1" w:rsidRDefault="00633ACD" w:rsidP="00633ACD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633ACD" w:rsidRPr="009D1CE1" w:rsidRDefault="00633ACD" w:rsidP="00633ACD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2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3</w:t>
      </w:r>
    </w:p>
    <w:p w:rsidR="00633ACD" w:rsidRPr="009D1CE1" w:rsidRDefault="00633ACD" w:rsidP="00633A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Arial" w:hAnsi="Arial" w:cs="Arial"/>
          <w:sz w:val="28"/>
          <w:szCs w:val="28"/>
        </w:rPr>
        <w:t xml:space="preserve">                           </w:t>
      </w:r>
      <w:r w:rsidRPr="009D1CE1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4E7080" w:rsidRDefault="004E7080"/>
    <w:sectPr w:rsidR="004E7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ED"/>
    <w:rsid w:val="00361FBF"/>
    <w:rsid w:val="003B0DED"/>
    <w:rsid w:val="004E7080"/>
    <w:rsid w:val="00633ACD"/>
    <w:rsid w:val="006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073F7-AAE2-4AE1-9B68-CEF58136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2</cp:revision>
  <dcterms:created xsi:type="dcterms:W3CDTF">2025-09-03T08:56:00Z</dcterms:created>
  <dcterms:modified xsi:type="dcterms:W3CDTF">2025-09-03T08:56:00Z</dcterms:modified>
</cp:coreProperties>
</file>