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2C33D0DA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="00122520">
        <w:rPr>
          <w:rFonts w:ascii="Times New Roman" w:hAnsi="Times New Roman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122520">
        <w:rPr>
          <w:rFonts w:ascii="Arial" w:hAnsi="Arial" w:cs="Arial"/>
          <w:kern w:val="2"/>
          <w:sz w:val="20"/>
          <w:szCs w:val="20"/>
          <w:lang w:eastAsia="zh-CN"/>
        </w:rPr>
        <w:t>1</w:t>
      </w:r>
      <w:r w:rsidR="0070384D">
        <w:rPr>
          <w:rFonts w:ascii="Arial" w:hAnsi="Arial" w:cs="Arial"/>
          <w:kern w:val="2"/>
          <w:sz w:val="20"/>
          <w:szCs w:val="20"/>
          <w:lang w:eastAsia="zh-CN"/>
        </w:rPr>
        <w:t>2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1F795D60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70384D">
        <w:rPr>
          <w:rFonts w:ascii="Arial" w:hAnsi="Arial" w:cs="Arial"/>
          <w:b/>
          <w:bCs/>
          <w:sz w:val="28"/>
          <w:szCs w:val="28"/>
        </w:rPr>
        <w:t>PLEBANKA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3EBE1522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70384D">
        <w:rPr>
          <w:rFonts w:ascii="Arial" w:hAnsi="Arial" w:cs="Arial"/>
          <w:sz w:val="24"/>
          <w:szCs w:val="24"/>
        </w:rPr>
        <w:t xml:space="preserve">Plebanka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</w:t>
      </w:r>
      <w:r w:rsidR="007038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3447BA2D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70384D">
        <w:rPr>
          <w:rFonts w:ascii="Arial" w:hAnsi="Arial" w:cs="Arial"/>
          <w:sz w:val="24"/>
          <w:szCs w:val="24"/>
        </w:rPr>
        <w:t xml:space="preserve"> Plebanka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0640227A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B66441">
        <w:rPr>
          <w:rFonts w:ascii="Arial" w:hAnsi="Arial" w:cs="Arial"/>
          <w:sz w:val="24"/>
          <w:szCs w:val="24"/>
        </w:rPr>
        <w:t>3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4F01" w14:textId="77777777" w:rsidR="006D0068" w:rsidRDefault="006D0068" w:rsidP="00143A77">
      <w:pPr>
        <w:spacing w:after="0" w:line="240" w:lineRule="auto"/>
      </w:pPr>
      <w:r>
        <w:separator/>
      </w:r>
    </w:p>
  </w:endnote>
  <w:endnote w:type="continuationSeparator" w:id="0">
    <w:p w14:paraId="5B33E8F0" w14:textId="77777777" w:rsidR="006D0068" w:rsidRDefault="006D0068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5D34" w14:textId="77777777" w:rsidR="006D0068" w:rsidRDefault="006D0068" w:rsidP="00143A77">
      <w:pPr>
        <w:spacing w:after="0" w:line="240" w:lineRule="auto"/>
      </w:pPr>
      <w:r>
        <w:separator/>
      </w:r>
    </w:p>
  </w:footnote>
  <w:footnote w:type="continuationSeparator" w:id="0">
    <w:p w14:paraId="2DB721B5" w14:textId="77777777" w:rsidR="006D0068" w:rsidRDefault="006D0068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4C17"/>
    <w:rsid w:val="000B520B"/>
    <w:rsid w:val="000D668D"/>
    <w:rsid w:val="00103D3D"/>
    <w:rsid w:val="00120FCA"/>
    <w:rsid w:val="00122520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84EBE"/>
    <w:rsid w:val="00385527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D0068"/>
    <w:rsid w:val="006F1328"/>
    <w:rsid w:val="006F64DD"/>
    <w:rsid w:val="0070384D"/>
    <w:rsid w:val="00723346"/>
    <w:rsid w:val="007270F6"/>
    <w:rsid w:val="007A003F"/>
    <w:rsid w:val="007A00A4"/>
    <w:rsid w:val="007C38AE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66441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B5B91"/>
    <w:rsid w:val="00CE22D2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1763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2026-02-12T11:57:00Z</cp:lastPrinted>
  <dcterms:created xsi:type="dcterms:W3CDTF">2026-02-12T11:57:00Z</dcterms:created>
  <dcterms:modified xsi:type="dcterms:W3CDTF">2026-02-12T11:57:00Z</dcterms:modified>
</cp:coreProperties>
</file>