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8082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8082E">
        <w:rPr>
          <w:rFonts w:ascii="Times New Roman" w:hAnsi="Times New Roman" w:cs="Times New Roman"/>
          <w:b/>
          <w:bCs/>
          <w:sz w:val="24"/>
          <w:szCs w:val="24"/>
        </w:rPr>
        <w:t xml:space="preserve">21 maja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68082E">
        <w:rPr>
          <w:rFonts w:ascii="Times New Roman" w:hAnsi="Times New Roman" w:cs="Times New Roman"/>
          <w:sz w:val="24"/>
          <w:szCs w:val="24"/>
        </w:rPr>
        <w:t xml:space="preserve"> publicznych (t. j. Dz.U. z 2021 r. poz.305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16 363 665,66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 xml:space="preserve">14 505 575,03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 xml:space="preserve">wydatki majątkowe ustalone w wysokości         </w:t>
      </w:r>
      <w:r w:rsidR="005E1B2B">
        <w:rPr>
          <w:rFonts w:ascii="Times New Roman" w:hAnsi="Times New Roman" w:cs="Times New Roman"/>
          <w:b/>
          <w:bCs/>
          <w:sz w:val="24"/>
          <w:szCs w:val="24"/>
        </w:rPr>
        <w:t>1 858 090,63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2D0497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6675CD" w:rsidRPr="0062227C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5E1B2B">
        <w:rPr>
          <w:b/>
          <w:bCs/>
        </w:rPr>
        <w:t>5 038 770,81</w:t>
      </w:r>
      <w:r w:rsidRPr="008337B8">
        <w:rPr>
          <w:b/>
          <w:bCs/>
        </w:rPr>
        <w:t xml:space="preserve"> zł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2D0497"/>
    <w:rsid w:val="003C01BD"/>
    <w:rsid w:val="005E1B2B"/>
    <w:rsid w:val="0062227C"/>
    <w:rsid w:val="006675CD"/>
    <w:rsid w:val="0068082E"/>
    <w:rsid w:val="006F51D8"/>
    <w:rsid w:val="008333F2"/>
    <w:rsid w:val="008A387F"/>
    <w:rsid w:val="008F56E7"/>
    <w:rsid w:val="00AC391E"/>
    <w:rsid w:val="00BF161D"/>
    <w:rsid w:val="00C17865"/>
    <w:rsid w:val="00CD7F7B"/>
    <w:rsid w:val="00D7162F"/>
    <w:rsid w:val="00E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13</cp:revision>
  <cp:lastPrinted>2021-06-01T11:21:00Z</cp:lastPrinted>
  <dcterms:created xsi:type="dcterms:W3CDTF">2020-02-26T09:46:00Z</dcterms:created>
  <dcterms:modified xsi:type="dcterms:W3CDTF">2021-06-01T11:36:00Z</dcterms:modified>
</cp:coreProperties>
</file>